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2BFE3" w14:textId="77777777" w:rsidR="002F07A9" w:rsidRDefault="00000000">
      <w:pPr>
        <w:pStyle w:val="Heading4"/>
        <w:spacing w:line="360" w:lineRule="auto"/>
        <w:jc w:val="center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Quy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trình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thực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hiện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M&amp;A</w:t>
      </w:r>
    </w:p>
    <w:p w14:paraId="2D2888E4" w14:textId="77777777" w:rsidR="002F07A9" w:rsidRDefault="00000000">
      <w:pPr>
        <w:pStyle w:val="NormalWeb"/>
        <w:spacing w:line="360" w:lineRule="auto"/>
        <w:jc w:val="both"/>
      </w:pP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rủi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M&amp;A </w:t>
      </w:r>
      <w:proofErr w:type="spellStart"/>
      <w:r>
        <w:rPr>
          <w:sz w:val="28"/>
          <w:szCs w:val="28"/>
        </w:rPr>
        <w:t>đòi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hỏi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>.</w:t>
      </w:r>
    </w:p>
    <w:p w14:paraId="39937CDE" w14:textId="17C63BEF" w:rsidR="002F07A9" w:rsidRDefault="00000000" w:rsidP="007D5FF9">
      <w:pPr>
        <w:pStyle w:val="Heading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Giai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đoạn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chuẩn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bị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hint="default"/>
          <w:sz w:val="28"/>
          <w:szCs w:val="28"/>
        </w:rPr>
        <w:t>Tiền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M&amp;A</w:t>
      </w:r>
    </w:p>
    <w:p w14:paraId="2D3ACFE1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trò</w:t>
      </w:r>
      <w:proofErr w:type="spellEnd"/>
      <w:r>
        <w:rPr>
          <w:sz w:val="28"/>
          <w:szCs w:val="28"/>
        </w:rPr>
        <w:t xml:space="preserve"> then </w:t>
      </w:r>
      <w:proofErr w:type="spellStart"/>
      <w:r>
        <w:rPr>
          <w:sz w:val="28"/>
          <w:szCs w:val="28"/>
        </w:rPr>
        <w:t>chốt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M&amp;A.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Đây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>.</w:t>
      </w:r>
    </w:p>
    <w:p w14:paraId="564D096A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chia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>:</w:t>
      </w:r>
    </w:p>
    <w:p w14:paraId="1326AC16" w14:textId="77777777" w:rsidR="002F07A9" w:rsidRDefault="00000000">
      <w:pPr>
        <w:pStyle w:val="Heading5"/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Bước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hint="default"/>
          <w:sz w:val="28"/>
          <w:szCs w:val="28"/>
        </w:rPr>
        <w:t>Tiếp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cận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đối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tượng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mục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tiêu</w:t>
      </w:r>
      <w:proofErr w:type="spellEnd"/>
    </w:p>
    <w:p w14:paraId="5254E283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kênh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:</w:t>
      </w:r>
    </w:p>
    <w:p w14:paraId="143D30ED" w14:textId="77777777" w:rsidR="002F07A9" w:rsidRDefault="00000000" w:rsidP="007D5FF9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marketing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53B5F61B" w14:textId="77777777" w:rsidR="002F07A9" w:rsidRDefault="00000000" w:rsidP="007D5FF9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5E72AFE" w14:textId="77777777" w:rsidR="002F07A9" w:rsidRDefault="00000000" w:rsidP="007D5FF9">
      <w:pPr>
        <w:numPr>
          <w:ilvl w:val="0"/>
          <w:numId w:val="1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lĩnh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M&amp;A.</w:t>
      </w:r>
    </w:p>
    <w:p w14:paraId="1B8A6DEB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tiết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</w:t>
      </w:r>
      <w:proofErr w:type="spellEnd"/>
      <w:r>
        <w:rPr>
          <w:sz w:val="28"/>
          <w:szCs w:val="28"/>
        </w:rPr>
        <w:t>:</w:t>
      </w:r>
    </w:p>
    <w:p w14:paraId="155D6A60" w14:textId="77777777" w:rsidR="002F07A9" w:rsidRDefault="00000000" w:rsidP="007D5FF9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4D44C8" w14:textId="77777777" w:rsidR="002F07A9" w:rsidRDefault="00000000" w:rsidP="007D5FF9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Đối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AE4BF4" w14:textId="77777777" w:rsidR="002F07A9" w:rsidRDefault="00000000" w:rsidP="007D5FF9">
      <w:pPr>
        <w:numPr>
          <w:ilvl w:val="0"/>
          <w:numId w:val="2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tầng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C60FCA" w14:textId="77777777" w:rsidR="002F07A9" w:rsidRDefault="00000000">
      <w:pPr>
        <w:pStyle w:val="Heading5"/>
        <w:spacing w:line="360" w:lineRule="auto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Bước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2: </w:t>
      </w:r>
      <w:proofErr w:type="spellStart"/>
      <w:r>
        <w:rPr>
          <w:rFonts w:ascii="Times New Roman" w:hAnsi="Times New Roman" w:hint="default"/>
          <w:sz w:val="28"/>
          <w:szCs w:val="28"/>
        </w:rPr>
        <w:t>Báo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cáo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thẩm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định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(Due Diligence)</w:t>
      </w:r>
    </w:p>
    <w:p w14:paraId="2AC0023A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cận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tiêu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Quá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14:paraId="5FEBB7DF" w14:textId="77777777" w:rsidR="002F07A9" w:rsidRDefault="00000000" w:rsidP="007D5FF9">
      <w:pPr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luồng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7C0469" w14:textId="77777777" w:rsidR="002F07A9" w:rsidRDefault="00000000" w:rsidP="007D5FF9">
      <w:pPr>
        <w:numPr>
          <w:ilvl w:val="0"/>
          <w:numId w:val="3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8AEFC7F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thỏa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giúp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rủi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>.</w:t>
      </w:r>
    </w:p>
    <w:p w14:paraId="1E09A3E6" w14:textId="5B2834FA" w:rsidR="002F07A9" w:rsidRDefault="00000000" w:rsidP="007D5FF9">
      <w:pPr>
        <w:pStyle w:val="Heading4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Giai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đoạn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đàm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phán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và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ký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kết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M&amp;A</w:t>
      </w:r>
    </w:p>
    <w:p w14:paraId="7B18F8D0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Dựa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14:paraId="12E9EF93" w14:textId="77777777" w:rsidR="002F07A9" w:rsidRDefault="00000000" w:rsidP="007D5FF9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loại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M&amp;A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M&amp;A,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(Merger)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(Acquisition),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449DAD" w14:textId="77777777" w:rsidR="002F07A9" w:rsidRDefault="00000000" w:rsidP="007D5FF9">
      <w:pPr>
        <w:numPr>
          <w:ilvl w:val="0"/>
          <w:numId w:val="4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Thỏa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thuận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8"/>
          <w:szCs w:val="28"/>
        </w:rPr>
        <w:t>dịch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Mâu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801C210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</w:rPr>
        <w:t xml:space="preserve"> M&amp;A,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khoản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dịch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>.</w:t>
      </w:r>
    </w:p>
    <w:p w14:paraId="73C900FD" w14:textId="364FCAF1" w:rsidR="002F07A9" w:rsidRDefault="00000000" w:rsidP="007D5FF9">
      <w:pPr>
        <w:pStyle w:val="Heading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Giai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đoạn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hoàn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tất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thủ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tục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pháp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lý</w:t>
      </w:r>
      <w:proofErr w:type="spellEnd"/>
    </w:p>
    <w:p w14:paraId="26379769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M&amp;A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bán</w:t>
      </w:r>
      <w:proofErr w:type="spellEnd"/>
      <w:r>
        <w:rPr>
          <w:sz w:val="28"/>
          <w:szCs w:val="28"/>
        </w:rPr>
        <w:t xml:space="preserve"> sang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>.</w:t>
      </w:r>
    </w:p>
    <w:p w14:paraId="5F1FFEDC" w14:textId="1A823E2C" w:rsidR="002F07A9" w:rsidRDefault="00000000" w:rsidP="007D5FF9">
      <w:pPr>
        <w:pStyle w:val="Heading4"/>
        <w:numPr>
          <w:ilvl w:val="0"/>
          <w:numId w:val="6"/>
        </w:numPr>
        <w:spacing w:line="360" w:lineRule="auto"/>
        <w:ind w:left="426" w:hanging="426"/>
        <w:jc w:val="both"/>
        <w:rPr>
          <w:rFonts w:ascii="Times New Roman" w:hAnsi="Times New Roman" w:hint="default"/>
          <w:sz w:val="28"/>
          <w:szCs w:val="28"/>
        </w:rPr>
      </w:pPr>
      <w:proofErr w:type="spellStart"/>
      <w:r>
        <w:rPr>
          <w:rFonts w:ascii="Times New Roman" w:hAnsi="Times New Roman" w:hint="default"/>
          <w:sz w:val="28"/>
          <w:szCs w:val="28"/>
        </w:rPr>
        <w:t>Giai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đoạn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tái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cơ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cấu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doanh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default"/>
          <w:sz w:val="28"/>
          <w:szCs w:val="28"/>
        </w:rPr>
        <w:t>nghiệp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hint="default"/>
          <w:sz w:val="28"/>
          <w:szCs w:val="28"/>
        </w:rPr>
        <w:t>Hậu</w:t>
      </w:r>
      <w:proofErr w:type="spellEnd"/>
      <w:r>
        <w:rPr>
          <w:rFonts w:ascii="Times New Roman" w:hAnsi="Times New Roman" w:hint="default"/>
          <w:sz w:val="28"/>
          <w:szCs w:val="28"/>
        </w:rPr>
        <w:t xml:space="preserve"> M&amp;A</w:t>
      </w:r>
    </w:p>
    <w:p w14:paraId="5D276571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mặt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nghiệp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tóm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biến</w:t>
      </w:r>
      <w:proofErr w:type="spellEnd"/>
      <w:r>
        <w:rPr>
          <w:sz w:val="28"/>
          <w:szCs w:val="28"/>
        </w:rPr>
        <w:t xml:space="preserve"> bao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>:</w:t>
      </w:r>
    </w:p>
    <w:p w14:paraId="4F9B3E60" w14:textId="77777777" w:rsidR="002F07A9" w:rsidRDefault="00000000" w:rsidP="007D5FF9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ổn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08DF068" w14:textId="77777777" w:rsidR="002F07A9" w:rsidRDefault="00000000" w:rsidP="007D5FF9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B92350E" w14:textId="77777777" w:rsidR="002F07A9" w:rsidRDefault="00000000" w:rsidP="007D5FF9">
      <w:pPr>
        <w:numPr>
          <w:ilvl w:val="0"/>
          <w:numId w:val="5"/>
        </w:numPr>
        <w:tabs>
          <w:tab w:val="clear" w:pos="720"/>
          <w:tab w:val="left" w:pos="284"/>
        </w:tabs>
        <w:spacing w:beforeAutospacing="1" w:afterAutospacing="1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1BC497A" w14:textId="77777777" w:rsidR="002F07A9" w:rsidRDefault="00000000">
      <w:pPr>
        <w:pStyle w:val="NormalWeb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 </w:t>
      </w:r>
      <w:proofErr w:type="spellStart"/>
      <w:r>
        <w:rPr>
          <w:sz w:val="28"/>
          <w:szCs w:val="28"/>
        </w:rPr>
        <w:t>trọng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nhất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xảy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M&amp;A.</w:t>
      </w:r>
    </w:p>
    <w:p w14:paraId="1784290D" w14:textId="77777777" w:rsidR="002F07A9" w:rsidRDefault="002F07A9"/>
    <w:sectPr w:rsidR="002F07A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C67970"/>
    <w:multiLevelType w:val="multilevel"/>
    <w:tmpl w:val="B1C67970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A3D37B"/>
    <w:multiLevelType w:val="multilevel"/>
    <w:tmpl w:val="00A3D37B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3A51A388"/>
    <w:multiLevelType w:val="multilevel"/>
    <w:tmpl w:val="3A51A388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C62438"/>
    <w:multiLevelType w:val="multilevel"/>
    <w:tmpl w:val="48C62438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5803133D"/>
    <w:multiLevelType w:val="multilevel"/>
    <w:tmpl w:val="5803133D"/>
    <w:lvl w:ilvl="0">
      <w:start w:val="1"/>
      <w:numFmt w:val="bullet"/>
      <w:lvlText w:val="‒"/>
      <w:lvlJc w:val="left"/>
      <w:pPr>
        <w:tabs>
          <w:tab w:val="left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77CA4A79"/>
    <w:multiLevelType w:val="hybridMultilevel"/>
    <w:tmpl w:val="B7D850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637215">
    <w:abstractNumId w:val="2"/>
  </w:num>
  <w:num w:numId="2" w16cid:durableId="1070465090">
    <w:abstractNumId w:val="4"/>
  </w:num>
  <w:num w:numId="3" w16cid:durableId="1992564273">
    <w:abstractNumId w:val="3"/>
  </w:num>
  <w:num w:numId="4" w16cid:durableId="1074159904">
    <w:abstractNumId w:val="1"/>
  </w:num>
  <w:num w:numId="5" w16cid:durableId="1439177530">
    <w:abstractNumId w:val="0"/>
  </w:num>
  <w:num w:numId="6" w16cid:durableId="118493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50468A"/>
    <w:rsid w:val="002F07A9"/>
    <w:rsid w:val="007D5FF9"/>
    <w:rsid w:val="0150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,"/>
  <w14:docId w14:val="683CE84A"/>
  <w15:docId w15:val="{103BCF58-3652-694D-BB63-11997A62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V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4">
    <w:name w:val="heading 4"/>
    <w:next w:val="Normal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paragraph" w:styleId="Heading5">
    <w:name w:val="heading 5"/>
    <w:next w:val="Normal"/>
    <w:semiHidden/>
    <w:unhideWhenUsed/>
    <w:qFormat/>
    <w:pPr>
      <w:spacing w:beforeAutospacing="1" w:afterAutospacing="1"/>
      <w:outlineLvl w:val="4"/>
    </w:pPr>
    <w:rPr>
      <w:rFonts w:ascii="SimSun" w:hAnsi="SimSun" w:hint="eastAsia"/>
      <w:b/>
      <w:bCs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553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Nguyễn Quỳnh Anh</cp:lastModifiedBy>
  <cp:revision>2</cp:revision>
  <dcterms:created xsi:type="dcterms:W3CDTF">2025-01-15T08:35:00Z</dcterms:created>
  <dcterms:modified xsi:type="dcterms:W3CDTF">2025-02-18T02:23:00Z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31F919B4E8C44936AFD0D7D7AD07FC5E_11</vt:lpwstr>
  </property>
</Properties>
</file>