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1BC9" w14:textId="77777777" w:rsidR="00391E60" w:rsidRDefault="00000000" w:rsidP="00B86B94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Hợp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đồng</w:t>
      </w:r>
      <w:proofErr w:type="spellEnd"/>
      <w:r>
        <w:rPr>
          <w:rStyle w:val="Strong"/>
          <w:sz w:val="28"/>
          <w:szCs w:val="28"/>
        </w:rPr>
        <w:t xml:space="preserve"> BCC </w:t>
      </w:r>
      <w:proofErr w:type="spellStart"/>
      <w:r>
        <w:rPr>
          <w:rStyle w:val="Strong"/>
          <w:sz w:val="28"/>
          <w:szCs w:val="28"/>
        </w:rPr>
        <w:t>là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gì</w:t>
      </w:r>
      <w:proofErr w:type="spellEnd"/>
      <w:r>
        <w:rPr>
          <w:rStyle w:val="Strong"/>
          <w:sz w:val="28"/>
          <w:szCs w:val="28"/>
        </w:rPr>
        <w:t>?</w:t>
      </w:r>
    </w:p>
    <w:p w14:paraId="03A40750" w14:textId="77777777" w:rsidR="00391E60" w:rsidRDefault="00000000" w:rsidP="00B86B94">
      <w:pPr>
        <w:pStyle w:val="NormalWeb"/>
        <w:spacing w:line="360" w:lineRule="auto"/>
        <w:jc w:val="both"/>
        <w:rPr>
          <w:rStyle w:val="Strong"/>
          <w:sz w:val="28"/>
          <w:szCs w:val="28"/>
        </w:rPr>
      </w:pP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BCC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thỏa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>.</w:t>
      </w:r>
    </w:p>
    <w:p w14:paraId="21C43CE9" w14:textId="0434B569" w:rsidR="00B86B94" w:rsidRPr="00B86B94" w:rsidRDefault="00000000" w:rsidP="00B86B94">
      <w:pPr>
        <w:pStyle w:val="NormalWeb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Hợp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đồng</w:t>
      </w:r>
      <w:proofErr w:type="spellEnd"/>
      <w:r>
        <w:rPr>
          <w:rStyle w:val="Strong"/>
          <w:sz w:val="28"/>
          <w:szCs w:val="28"/>
        </w:rPr>
        <w:t xml:space="preserve"> BCC </w:t>
      </w:r>
      <w:proofErr w:type="spellStart"/>
      <w:r>
        <w:rPr>
          <w:rStyle w:val="Strong"/>
          <w:sz w:val="28"/>
          <w:szCs w:val="28"/>
        </w:rPr>
        <w:t>là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gì</w:t>
      </w:r>
      <w:proofErr w:type="spellEnd"/>
      <w:r>
        <w:rPr>
          <w:rStyle w:val="Strong"/>
          <w:sz w:val="28"/>
          <w:szCs w:val="28"/>
        </w:rPr>
        <w:t>?</w:t>
      </w:r>
      <w:r>
        <w:rPr>
          <w:sz w:val="28"/>
          <w:szCs w:val="28"/>
        </w:rPr>
        <w:br/>
        <w:t xml:space="preserve">Theo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14,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2020,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BCC (Business Cooperation Contract)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.</w:t>
      </w:r>
    </w:p>
    <w:p w14:paraId="3038DFF6" w14:textId="0C7A8166" w:rsidR="00391E60" w:rsidRDefault="00000000" w:rsidP="00B86B94">
      <w:pPr>
        <w:pStyle w:val="Heading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Quy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định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pháp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lý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về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Hợp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đồng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BCC</w:t>
      </w:r>
    </w:p>
    <w:p w14:paraId="3D980833" w14:textId="77777777" w:rsidR="00391E60" w:rsidRDefault="00000000" w:rsidP="00B86B94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BCC bao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>:</w:t>
      </w:r>
    </w:p>
    <w:p w14:paraId="763C7156" w14:textId="77777777" w:rsidR="00391E60" w:rsidRDefault="00000000" w:rsidP="00B86B94">
      <w:pPr>
        <w:numPr>
          <w:ilvl w:val="0"/>
          <w:numId w:val="1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Áp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dụng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pháp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luật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dân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BCC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83D9A5" w14:textId="77777777" w:rsidR="00391E60" w:rsidRDefault="00000000" w:rsidP="00B86B94">
      <w:pPr>
        <w:numPr>
          <w:ilvl w:val="0"/>
          <w:numId w:val="1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Thủ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tục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cấp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Giấy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chứng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nhận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đăng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ký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đầu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tư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BCC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D9115F" w14:textId="77777777" w:rsidR="00391E60" w:rsidRDefault="00000000" w:rsidP="00B86B94">
      <w:pPr>
        <w:numPr>
          <w:ilvl w:val="0"/>
          <w:numId w:val="1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Thành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lập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ban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điều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phối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AF1736" w14:textId="77777777" w:rsidR="00391E60" w:rsidRDefault="00000000" w:rsidP="00B86B94">
      <w:pPr>
        <w:numPr>
          <w:ilvl w:val="0"/>
          <w:numId w:val="1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Quyền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thành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lập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doanh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nghiệp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0A69F8" w14:textId="576EDA1D" w:rsidR="00391E60" w:rsidRDefault="00000000" w:rsidP="00B86B94">
      <w:pPr>
        <w:pStyle w:val="Heading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Nội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hint="default"/>
          <w:sz w:val="28"/>
          <w:szCs w:val="28"/>
        </w:rPr>
        <w:t>của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Hợp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đồng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BCC</w:t>
      </w:r>
    </w:p>
    <w:p w14:paraId="0B201583" w14:textId="77777777" w:rsidR="00391E60" w:rsidRDefault="00000000" w:rsidP="00B86B94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BCC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thỏa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>:</w:t>
      </w:r>
    </w:p>
    <w:p w14:paraId="50197FFD" w14:textId="77777777" w:rsidR="00391E60" w:rsidRDefault="00000000" w:rsidP="00B86B94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Mục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tiêu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phạm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vi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tác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kinh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doanh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03C1BB6" w14:textId="77777777" w:rsidR="00391E60" w:rsidRDefault="00000000" w:rsidP="00B86B94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Đóng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góp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phân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chia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lợi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nhuận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330B06" w14:textId="77777777" w:rsidR="00391E60" w:rsidRDefault="00000000" w:rsidP="00B86B94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Tiến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độ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thời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hạn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D4A6DF" w14:textId="77777777" w:rsidR="00391E60" w:rsidRDefault="00000000" w:rsidP="00B86B94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Quyền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nghĩa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vụ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111BE4" w14:textId="77777777" w:rsidR="00391E60" w:rsidRDefault="00000000" w:rsidP="00B86B94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Trách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nhiệm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vi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phạm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giải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quyết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tranh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chấp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980A014" w14:textId="77777777" w:rsidR="00391E60" w:rsidRDefault="00000000" w:rsidP="00B86B94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Thông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tin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bên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839C98" w14:textId="77777777" w:rsidR="00391E60" w:rsidRDefault="00000000" w:rsidP="00B86B94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Sửa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đổi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và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chấm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dứt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đồng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91BCAB" w14:textId="58C837C6" w:rsidR="00391E60" w:rsidRDefault="00000000" w:rsidP="00B86B94">
      <w:pPr>
        <w:pStyle w:val="Heading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Ưu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điểm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của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Hợp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đồng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BCC</w:t>
      </w:r>
    </w:p>
    <w:p w14:paraId="1EDA9E4B" w14:textId="77777777" w:rsidR="00391E60" w:rsidRDefault="00000000" w:rsidP="00B86B94">
      <w:pPr>
        <w:numPr>
          <w:ilvl w:val="0"/>
          <w:numId w:val="3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Không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cần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thành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lập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pháp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973369" w14:textId="77777777" w:rsidR="00391E60" w:rsidRDefault="00000000" w:rsidP="00B86B94">
      <w:pPr>
        <w:numPr>
          <w:ilvl w:val="0"/>
          <w:numId w:val="3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Tiếp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cận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thị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nhanh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chóng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5F33DB" w14:textId="77777777" w:rsidR="00391E60" w:rsidRDefault="00000000" w:rsidP="00B86B94">
      <w:pPr>
        <w:numPr>
          <w:ilvl w:val="0"/>
          <w:numId w:val="3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Tự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do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thỏa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thuận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D11B81" w14:textId="7F2E1681" w:rsidR="00391E60" w:rsidRDefault="00000000" w:rsidP="00B86B94">
      <w:pPr>
        <w:pStyle w:val="Heading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Hạn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chế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của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Hợp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đồng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BCC</w:t>
      </w:r>
    </w:p>
    <w:p w14:paraId="0AB5702E" w14:textId="77777777" w:rsidR="00391E60" w:rsidRDefault="00000000" w:rsidP="00B86B94">
      <w:pPr>
        <w:numPr>
          <w:ilvl w:val="0"/>
          <w:numId w:val="4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Thiếu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đại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diện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pháp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lý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chung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60D0C2" w14:textId="77777777" w:rsidR="00391E60" w:rsidRDefault="00000000" w:rsidP="00B86B94">
      <w:pPr>
        <w:numPr>
          <w:ilvl w:val="0"/>
          <w:numId w:val="4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Rủi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ro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sử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dụng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con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dấu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0F442E" w14:textId="77777777" w:rsidR="00391E60" w:rsidRDefault="00000000" w:rsidP="00B86B94">
      <w:pPr>
        <w:numPr>
          <w:ilvl w:val="0"/>
          <w:numId w:val="4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Quy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định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pháp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luật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chưa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đầy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đủ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BCC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1D4D8B" w14:textId="77777777" w:rsidR="00391E60" w:rsidRDefault="00391E60" w:rsidP="00B86B94">
      <w:pPr>
        <w:spacing w:line="360" w:lineRule="auto"/>
        <w:jc w:val="both"/>
      </w:pPr>
    </w:p>
    <w:sectPr w:rsidR="00391E6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1FFC0F"/>
    <w:multiLevelType w:val="multilevel"/>
    <w:tmpl w:val="BA1FFC0F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5923DBE"/>
    <w:multiLevelType w:val="hybridMultilevel"/>
    <w:tmpl w:val="9034BFD2"/>
    <w:lvl w:ilvl="0" w:tplc="CD245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206B3"/>
    <w:multiLevelType w:val="multilevel"/>
    <w:tmpl w:val="464206B3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55EEBF2"/>
    <w:multiLevelType w:val="multilevel"/>
    <w:tmpl w:val="655EEBF2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74D3CCB0"/>
    <w:multiLevelType w:val="multilevel"/>
    <w:tmpl w:val="74D3CCB0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06134690">
    <w:abstractNumId w:val="2"/>
  </w:num>
  <w:num w:numId="2" w16cid:durableId="145709102">
    <w:abstractNumId w:val="3"/>
  </w:num>
  <w:num w:numId="3" w16cid:durableId="361899953">
    <w:abstractNumId w:val="4"/>
  </w:num>
  <w:num w:numId="4" w16cid:durableId="1586958545">
    <w:abstractNumId w:val="0"/>
  </w:num>
  <w:num w:numId="5" w16cid:durableId="47618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487F6E"/>
    <w:rsid w:val="00391E60"/>
    <w:rsid w:val="00B86B94"/>
    <w:rsid w:val="634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3EEDC4B4"/>
  <w15:docId w15:val="{103BCF58-3652-694D-BB63-11997A62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V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Nguyễn Quỳnh Anh</cp:lastModifiedBy>
  <cp:revision>2</cp:revision>
  <dcterms:created xsi:type="dcterms:W3CDTF">2025-01-09T09:47:00Z</dcterms:created>
  <dcterms:modified xsi:type="dcterms:W3CDTF">2025-02-18T02:12:00Z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5FC7F20A5C614823A9ADA56EC6D65D10_11</vt:lpwstr>
  </property>
</Properties>
</file>